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114550" cy="952500"/>
            <wp:effectExtent b="0" l="0" r="0" t="0"/>
            <wp:docPr descr="C:\Users\user06.RUSMETALINVEST\Desktop\93806a50c979ebd4.jpg" id="4" name="image1.jpg"/>
            <a:graphic>
              <a:graphicData uri="http://schemas.openxmlformats.org/drawingml/2006/picture">
                <pic:pic>
                  <pic:nvPicPr>
                    <pic:cNvPr descr="C:\Users\user06.RUSMETALINVEST\Desktop\93806a50c979ebd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ПОСТАВКИ № ДП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                                                                                                         г. Королев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Общество с ограниченной ответственностью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«ПКФ «РИМ»</w:t>
      </w:r>
      <w:r w:rsidDel="00000000" w:rsidR="00000000" w:rsidRPr="00000000">
        <w:rPr>
          <w:sz w:val="24"/>
          <w:szCs w:val="24"/>
          <w:rtl w:val="0"/>
        </w:rPr>
        <w:t xml:space="preserve"> именуемое в дальнейшем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Поставщик</w:t>
      </w:r>
      <w:r w:rsidDel="00000000" w:rsidR="00000000" w:rsidRPr="00000000">
        <w:rPr>
          <w:sz w:val="24"/>
          <w:szCs w:val="24"/>
          <w:rtl w:val="0"/>
        </w:rPr>
        <w:t xml:space="preserve">, в лице генерального директора Абатурова Юрия Алексеевича  , действующего на основании Устава, и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#############</w:t>
      </w:r>
      <w:r w:rsidDel="00000000" w:rsidR="00000000" w:rsidRPr="00000000">
        <w:rPr>
          <w:sz w:val="24"/>
          <w:szCs w:val="24"/>
          <w:rtl w:val="0"/>
        </w:rPr>
        <w:t xml:space="preserve">, в лице генерального директора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######################## </w:t>
      </w:r>
      <w:r w:rsidDel="00000000" w:rsidR="00000000" w:rsidRPr="00000000">
        <w:rPr>
          <w:sz w:val="24"/>
          <w:szCs w:val="24"/>
          <w:rtl w:val="0"/>
        </w:rPr>
        <w:t xml:space="preserve">действующего на основании Устава (далее именуемые Стороны) заключили настоящий Договор о нижеследующем: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Предмет  договора.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Поставщик обязуется  передать в собственность металлопродукцию, а Покупатель – принять и  оплатить  металлопродукцию  (далее именуемую Товар). </w:t>
      </w:r>
    </w:p>
    <w:p w:rsidR="00000000" w:rsidDel="00000000" w:rsidP="00000000" w:rsidRDefault="00000000" w:rsidRPr="00000000" w14:paraId="0000000D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Конкретное наименование,  ассортимент, количество, цена за тонну, общая сумма за Товар, сроки и порядок поставки и оплаты указываются в прилагаемых к настоящему договору  Спецификациях, которые являются неотъемлемой частью договора. 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Условия поставки товара.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2.1. Доставка Товара производится транспортом Поставщика.</w:t>
      </w:r>
    </w:p>
    <w:p w:rsidR="00000000" w:rsidDel="00000000" w:rsidP="00000000" w:rsidRDefault="00000000" w:rsidRPr="00000000" w14:paraId="0000001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отгрузке товара со складов Поставщика отгрузка Поставщиком и приемка Покупателем сортового и листового проката, а также профильных</w:t>
      </w:r>
      <w:r w:rsidDel="00000000" w:rsidR="00000000" w:rsidRPr="00000000">
        <w:rPr>
          <w:rFonts w:ascii="Arimo" w:cs="Arimo" w:eastAsia="Arimo" w:hAnsi="Arimo"/>
          <w:color w:val="0000ff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тонкостенных и бесшовных горячекатаных труб осуществляется по физическому весу. Отгрузка Поставщиком и приемка Покупателем труб (кроме профильных и тонкостенных), листовых профилей осуществляется по теоретической массе. Отгрузка сварной сетки осуществляется в квадратных метрах.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отгрузке Товара напрямую с завода-изготовителя приемка Товара осуществляется в соответствии с сертификатом качества завода-изготовителя – Товар, отгруженный заводом-изготовителем по физическому весу, принимается по физическому весу, Товар, отгруженный заводом-изготовителем по теоретической массе, принимается по теоретической массе. </w:t>
      </w:r>
    </w:p>
    <w:p w:rsidR="00000000" w:rsidDel="00000000" w:rsidP="00000000" w:rsidRDefault="00000000" w:rsidRPr="00000000" w14:paraId="00000012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Качество поставляемого Товара должно соответствовать ГОСТу или ТУ и подтверждаться сертификатом качества товара.</w:t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 Поставщик обязан осуществить поставку очередной партии  Товара в адрес Грузополучателя в срок, согласованный сторонами. Поставщик имеет право на досрочную поставку с согласия Покупателя. </w:t>
      </w:r>
    </w:p>
    <w:p w:rsidR="00000000" w:rsidDel="00000000" w:rsidP="00000000" w:rsidRDefault="00000000" w:rsidRPr="00000000" w14:paraId="00000014">
      <w:pPr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 Срок поставки Товара, предусмотренный п. 2.3 настоящего договора, может быть продлен по решению Продавца в случае отсутствия поступления  в установленный срок телеграммы от ж/д станции Грузополучателя о готовности принять груз или несвоевременного сообщения Покупателем отгрузочных реквизитов Грузополучателей.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Отгрузочные реквизиты должны быть сообщены Поставщику в письменной форме за подписью уполномоченного лица Покупателя.</w:t>
      </w:r>
    </w:p>
    <w:p w:rsidR="00000000" w:rsidDel="00000000" w:rsidP="00000000" w:rsidRDefault="00000000" w:rsidRPr="00000000" w14:paraId="00000015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2.5. Приемку по количеству, качеству и комплектности Товара производится Покупателем. В случае если количество, качество и комплектность соответствуют согласованным  в Счете,  доставлен в целости и полной сохранности от внешних повреждений, Покупатель подписывает товарную накладную.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Если при приемке Товара обнаружено, недостача или несоответствия качество Товара, в этом случае Сторонами оформляется Акт об установленном расхождении по количеству и качеству при приемке Товара по форме ТОРГ-2. Вызов представителя Поставщика обязателен. При не явке в течение 24 часов с даты уведомления представителя Поставщика акты при приемке составляются Покупателем в одностороннем порядке. Поставщик, допустивший недопоставку Товара обязан поставить недопоставленное количество Товара в срок согласованный Сторонами. В этом случае транспортные расходы за счет Поставщика.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В случае выявления Покупателем при приемке Товара или в течение гарантийного срока недостатков поставленного Товара (в том числе при  несоответствии Товара техническим характеристикам, указанным в документах, подтверждающих качество Товара; выявлении недостачи по количеству Товара; отсутствии в комплекте поставки технической документации, (полностью или в части); несоответствии тары и(или) упаковки условиям Договора), ответственное лицо Покупателя составляет Акт о выявленных недостатках/недостаче Товара в произвольной форме, с указанием недостатков и необходимых сроков их устранения (или замены Товара, если недостатки существенны). В любом случае срок устранения недостатков не может превышать 15 (пятнадцати) календарных дней с даты получения Поставщиком Акта о недостатках/недостаче Товара. Вызов представителя Поставщика,  для составления Акта о недостатках / недостаче Товара осуществляется посредством направления телеграммы, телефонограммы. Представитель Поставщика должен быть уполномочен на составление и подписание Акта на основании выданной Поставщиком доверенности. В случае неприбытия представителя Поставщика для подписания данного Акта в течение 5 (пяти) рабочих дней с момента уведомления Покупателем (направления телеграммы, телефонограммы), Акт, подписанный только Покупателем, направляется Поставщику заказной почтой с уведомлением о вручении, при этом срок устранения недостатков, указанный в односторонне подписанном Акте, считается установленным надлежащим образом.</w:t>
      </w:r>
    </w:p>
    <w:p w:rsidR="00000000" w:rsidDel="00000000" w:rsidP="00000000" w:rsidRDefault="00000000" w:rsidRPr="00000000" w14:paraId="0000001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Поставщик гарантирует соответствие Товара ГОСТам, сертификату качества, а также  техническим условиям заводов-производителей и иным нормативно-техническим документам, указанным в Договоре и/или Спецификации, либо принятым для данного вида товаров.</w:t>
      </w:r>
    </w:p>
    <w:p w:rsidR="00000000" w:rsidDel="00000000" w:rsidP="00000000" w:rsidRDefault="00000000" w:rsidRPr="00000000" w14:paraId="0000001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</w:t>
        <w:tab/>
        <w:t xml:space="preserve">Товар (части Товара) должен быть новым.</w:t>
      </w:r>
    </w:p>
    <w:p w:rsidR="00000000" w:rsidDel="00000000" w:rsidP="00000000" w:rsidRDefault="00000000" w:rsidRPr="00000000" w14:paraId="0000001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2.9.</w:t>
        <w:tab/>
        <w:t xml:space="preserve">На поставленный Товар устанавливается гарантийный срок – 24_месяца со дня ввода Товара в эксплуатацию (что подтверждается соответствующим актом о вводе Товара в эксплуатацию), но не более 36 месяцев с момента поставки Товара. При обнаружении дефекта Товара /комплектующего изделия/ в течение гарантийного срока  Покупатель извещает Поставщика письменно, в том числе по факсу или электронной почте. Стороны подписывают Акт о недостатках/недостаче в порядке, предусмотренном пунктом 2.6. Договора.</w:t>
      </w:r>
    </w:p>
    <w:p w:rsidR="00000000" w:rsidDel="00000000" w:rsidP="00000000" w:rsidRDefault="00000000" w:rsidRPr="00000000" w14:paraId="0000001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3. Расчеты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3.1. Цена Товара указывается в Приложениях и включает связанные с транспортировкой Товара расходы, в том числе причитающиеся железной дороге платежи (за исключением случаев доставки путём самовывоза и привлечения транспортной организации Покупателя), стоимость упаковки и невозвратной тары, расходы на оформление необходимых документов, разрешений и все иные расходы Поставщика по поставке Товара.</w:t>
      </w:r>
    </w:p>
    <w:p w:rsidR="00000000" w:rsidDel="00000000" w:rsidP="00000000" w:rsidRDefault="00000000" w:rsidRPr="00000000" w14:paraId="0000001E">
      <w:pPr>
        <w:spacing w:after="12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3.1.1.</w:t>
        <w:tab/>
        <w:t xml:space="preserve">Если в Приложении определено, что цена Товара указана без учета связанных с транспортировкой Товара расходов, стоимости упаковки и невозвратной тары, то они выделяются в счетах-фактурах отдельной строкой либо выставляются отдельными счетами-фактурами.</w:t>
      </w:r>
    </w:p>
    <w:p w:rsidR="00000000" w:rsidDel="00000000" w:rsidP="00000000" w:rsidRDefault="00000000" w:rsidRPr="00000000" w14:paraId="0000001F">
      <w:pPr>
        <w:spacing w:after="12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3.1.2.</w:t>
        <w:tab/>
        <w:t xml:space="preserve">Если транспортные расходы не включаются в цену Товара, они являются возмещаемыми, указываются и оплачиваются на основании данных, содержащихся в транспортных накладных и иных подтверждающих данные расходы документов. Поставщик предоставляет Покупателю полный комплект следующих документов:</w:t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счет-фактуру на ж/д тариф (иные расходы по перевозке Товара);</w:t>
      </w:r>
    </w:p>
    <w:p w:rsidR="00000000" w:rsidDel="00000000" w:rsidP="00000000" w:rsidRDefault="00000000" w:rsidRPr="00000000" w14:paraId="00000021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заверенную копию счета-фактуры перевозчика;</w:t>
      </w:r>
    </w:p>
    <w:p w:rsidR="00000000" w:rsidDel="00000000" w:rsidP="00000000" w:rsidRDefault="00000000" w:rsidRPr="00000000" w14:paraId="00000022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заверенные копии отгрузочных документов (ж/д накладных, квитанций о приемке груза к перевозке, транспортных накладных) на перевозку Товара;</w:t>
      </w:r>
    </w:p>
    <w:p w:rsidR="00000000" w:rsidDel="00000000" w:rsidP="00000000" w:rsidRDefault="00000000" w:rsidRPr="00000000" w14:paraId="00000023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заверенную копию перечня железнодорожных документов, выданных станцией отправления после раскредитования Товара на станции назначения (получения Товара грузополучателем) (заверенную копию акта о стоимости оказанных услуг по перевозке Товара).</w:t>
      </w:r>
    </w:p>
    <w:p w:rsidR="00000000" w:rsidDel="00000000" w:rsidP="00000000" w:rsidRDefault="00000000" w:rsidRPr="00000000" w14:paraId="00000024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</w:t>
        <w:tab/>
        <w:t xml:space="preserve">Цена товара, согласованная сторонами в Приложении, не может быть изменена Поставщиком в одностороннем порядке.</w:t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</w:t>
        <w:tab/>
        <w:t xml:space="preserve">Оплата осуществляется перечислением денежных средств на счет Поставщика.</w:t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Валюта платежа - рубль РФ. </w:t>
      </w:r>
    </w:p>
    <w:p w:rsidR="00000000" w:rsidDel="00000000" w:rsidP="00000000" w:rsidRDefault="00000000" w:rsidRPr="00000000" w14:paraId="00000027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Датой платежа считается дата списания денежных средств с расчетного счета Покупателя.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</w:t>
        <w:tab/>
        <w:t xml:space="preserve">Допускается оплата Товара третьим лицом, о чем Покупатель должен уведомить Поставщика (с указанием плательщика - третьего лица).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</w:t>
        <w:tab/>
        <w:t xml:space="preserve">До исполнения Поставщиком обязательства поставить Товар (партию Товара) Покупатель не имеет обязательств по его оплате. Партией Товара признается количество Товара, перевозимое по одной накладной в одной транспортной единице (вагон, машина, прицеп). При осуществлении поставки маршрутными отправками партией Товара признается количество Товара, перевозимое отправительским маршрутом.</w:t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4. Гарантии исполнения обязательств и </w:t>
      </w:r>
    </w:p>
    <w:p w:rsidR="00000000" w:rsidDel="00000000" w:rsidP="00000000" w:rsidRDefault="00000000" w:rsidRPr="00000000" w14:paraId="0000002C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ответственность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 При неисполнении Продавцом сроков по поставке Товара, за исключением случаев, прямо предусмотренных в договоре, последний выплачивает Покупателю пени в размере 0,01 </w:t>
      </w:r>
      <w:r w:rsidDel="00000000" w:rsidR="00000000" w:rsidRPr="00000000">
        <w:rPr>
          <w:sz w:val="24"/>
          <w:szCs w:val="24"/>
          <w:rtl w:val="0"/>
        </w:rPr>
        <w:t xml:space="preserve">% от стоимости не поставленного (не отгруженного) в срок Товара за каждый рабочий день просрочки.</w:t>
      </w:r>
    </w:p>
    <w:p w:rsidR="00000000" w:rsidDel="00000000" w:rsidP="00000000" w:rsidRDefault="00000000" w:rsidRPr="00000000" w14:paraId="0000002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неисполнения Покупателем сроков оплаты за поставленный Товар указанных п. 3.1 настоящего договора, Покупатель выплачивает Продавцу штрафную неустойку в размере 0.01% от суммы просроченного платежа за каждый день просрочки, неустойка на предоплату не начисляется и не выплачивается. </w:t>
      </w:r>
    </w:p>
    <w:p w:rsidR="00000000" w:rsidDel="00000000" w:rsidP="00000000" w:rsidRDefault="00000000" w:rsidRPr="00000000" w14:paraId="0000002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 В случае неисполнения Покупателем согласованных сроков оплаты за Товар более, чем на 15 календарных дней,  Продавец имеет право изменить в одностороннем порядке цену на Товар. </w:t>
      </w:r>
    </w:p>
    <w:p w:rsidR="00000000" w:rsidDel="00000000" w:rsidP="00000000" w:rsidRDefault="00000000" w:rsidRPr="00000000" w14:paraId="00000030">
      <w:pPr>
        <w:ind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 При просрочке Покупателем оплаты за Товар Продавец имеет право приостановить поставку Товара до полного погашения  Покупателем задолженности по оплате ранее поставленного Товара.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4.5. В случае, если Покупатель в срок, согласованный сторонами, не осуществит выборку заказанного Товара,  он оплачивает расходы Продавца по хранению Товара в размере 50 (пятьдесят)   рублей за тонну Товара за каждый день хранения.</w:t>
      </w:r>
    </w:p>
    <w:p w:rsidR="00000000" w:rsidDel="00000000" w:rsidP="00000000" w:rsidRDefault="00000000" w:rsidRPr="00000000" w14:paraId="00000032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4.6. Поставщик обязуется возместить Покупателю убытки в виде расходов, которые Покупатель произведет или должен будет произвести в случае признания налоговыми органами неправомерным учета расходов на поставку товара в рамках настоящего договора и применения налоговых вычетов в отношении сумм НДС, предъявленных Поставщиком в рамках настоящего договора по следующим мотивам (основаниям):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нарушение налоговых обязанностей по отражению в качестве дохода сумм, полученных от Покупателя по настоящему договору, а равно по исчислению и перечислению в бюджет НДС;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привлечение Поставщиком в качестве своих контрагентов по другим договорам организаций, не исполняющих налоговые обязанности.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состав убытков подлежащих возмещению согласно настоящему пункту договора включаются: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сумма до начисленного по указанным выше основаниям налога (НДС и налога на прибыль);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начисленные пени на сумму, указанную в предыдущем абзаце;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сумма налоговых санкций за нарушения, приведенные в настоящем пункте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Стороны договорились о том, что документом, подтверждающим возникновение оснований для возмещения Поставщиком Покупателю сумм убытков, указанных в настоящем пункте, является решение налогового органа о доначислении налога, пени и штрафа, приведенных выше, подтвержденное вступившим в законную силу решением арбитражного суда».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4.7.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Законные проценты по статье 317.1 ГК РФ не начисляются за весь период действия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5. Срок действия договора и иные условия</w:t>
      </w:r>
    </w:p>
    <w:p w:rsidR="00000000" w:rsidDel="00000000" w:rsidP="00000000" w:rsidRDefault="00000000" w:rsidRPr="00000000" w14:paraId="0000003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 Настоящий договор вступает в силу с даты его подписания и действует до 31 декабря 2020 года. Если за 1 (один) месяц до истечения срока действия договора, ни одна из сторон не заявит о его расторжении, то договор становиться автоматически пролонгированным на каждый следующий календарный год.</w:t>
      </w:r>
    </w:p>
    <w:p w:rsidR="00000000" w:rsidDel="00000000" w:rsidP="00000000" w:rsidRDefault="00000000" w:rsidRPr="00000000" w14:paraId="0000003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Окончательные расчеты за фактически поставленное количество Товара производятся в срок, указанный в п. 3.1 настоящего договора. Если продукция была оплачена предварительно, то окончательные расчеты за фактически поставленное количество Товара производятся  не позднее 10 рабочих дней с момента поставки, если иной порядок оплаты не будет согласован Сторонами в соответствующей Спецификации.</w:t>
      </w:r>
    </w:p>
    <w:p w:rsidR="00000000" w:rsidDel="00000000" w:rsidP="00000000" w:rsidRDefault="00000000" w:rsidRPr="00000000" w14:paraId="0000003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 Все вопросы, не урегулированные настоящим договором, а также споры сторон, возникающие в ходе его исполнения, подлежат разрешению в соответствии с законодательством Российской Федерации. Арбитражные споры подлежат разрешению в Арбитражном суде по месту нахождения истца.</w:t>
      </w:r>
    </w:p>
    <w:p w:rsidR="00000000" w:rsidDel="00000000" w:rsidP="00000000" w:rsidRDefault="00000000" w:rsidRPr="00000000" w14:paraId="0000004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 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6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. Адреса и реквизиты сторон.</w:t>
      </w:r>
    </w:p>
    <w:p w:rsidR="00000000" w:rsidDel="00000000" w:rsidP="00000000" w:rsidRDefault="00000000" w:rsidRPr="00000000" w14:paraId="00000043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108.0" w:type="dxa"/>
        <w:tblLayout w:type="fixed"/>
        <w:tblLook w:val="0000"/>
      </w:tblPr>
      <w:tblGrid>
        <w:gridCol w:w="4962"/>
        <w:gridCol w:w="4961"/>
        <w:tblGridChange w:id="0">
          <w:tblGrid>
            <w:gridCol w:w="4962"/>
            <w:gridCol w:w="4961"/>
          </w:tblGrid>
        </w:tblGridChange>
      </w:tblGrid>
      <w:tr>
        <w:trPr>
          <w:cantSplit w:val="0"/>
          <w:trHeight w:val="332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firstLine="318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ПОСТАВЩИК:</w:t>
            </w:r>
          </w:p>
          <w:p w:rsidR="00000000" w:rsidDel="00000000" w:rsidP="00000000" w:rsidRDefault="00000000" w:rsidRPr="00000000" w14:paraId="00000045">
            <w:pPr>
              <w:ind w:firstLine="318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ООО «ПКФ «РИМ»</w:t>
            </w:r>
          </w:p>
          <w:tbl>
            <w:tblPr>
              <w:tblStyle w:val="Table2"/>
              <w:tblW w:w="4675.0" w:type="dxa"/>
              <w:jc w:val="left"/>
              <w:tblInd w:w="108.0" w:type="dxa"/>
              <w:tblLayout w:type="fixed"/>
              <w:tblLook w:val="0000"/>
            </w:tblPr>
            <w:tblGrid>
              <w:gridCol w:w="4675"/>
              <w:tblGridChange w:id="0">
                <w:tblGrid>
                  <w:gridCol w:w="4675"/>
                </w:tblGrid>
              </w:tblGridChange>
            </w:tblGrid>
            <w:tr>
              <w:trPr>
                <w:cantSplit w:val="0"/>
                <w:trHeight w:val="17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Юридический адрес: 141070,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Московская область, г. Королёв, ул. Фрунзе, дом  1А, помещение III, офис  500/1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Почтовый адрес: 141070, Московская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область, г. Королёв, ул. Фрунзе, дом  1А, помещение III, офис  500/1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ИНН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5018203071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КПП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501801001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р/сч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40702810040000072930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к/сч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30101810400000000225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БИК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044525225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Банк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ПАО СБЕРБАНК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ОГРН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1205000011798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Тел./факс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+7 (495) 122-25-63</w:t>
                  </w:r>
                </w:p>
                <w:p w:rsidR="00000000" w:rsidDel="00000000" w:rsidP="00000000" w:rsidRDefault="00000000" w:rsidRPr="00000000" w14:paraId="00000051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ПОКУПАТЕЛЬ: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1135" w:top="568" w:left="1276" w:right="567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ind w:firstLine="720"/>
      <w:jc w:val="both"/>
      <w:rPr/>
    </w:pPr>
    <w:r w:rsidDel="00000000" w:rsidR="00000000" w:rsidRPr="00000000">
      <w:rPr>
        <w:rtl w:val="0"/>
      </w:rPr>
      <w:t xml:space="preserve">Продавец____________________                                       Покупатель____________________</w:t>
    </w:r>
  </w:p>
  <w:p w:rsidR="00000000" w:rsidDel="00000000" w:rsidP="00000000" w:rsidRDefault="00000000" w:rsidRPr="00000000" w14:paraId="0000005C">
    <w:pPr>
      <w:jc w:val="both"/>
      <w:rPr>
        <w:sz w:val="24"/>
        <w:szCs w:val="24"/>
      </w:rPr>
    </w:pPr>
    <w:r w:rsidDel="00000000" w:rsidR="00000000" w:rsidRPr="00000000">
      <w:rPr>
        <w:rtl w:val="0"/>
      </w:rPr>
      <w:t xml:space="preserve">                                 (Абатуров Ю</w:t>
    </w:r>
    <w:r w:rsidDel="00000000" w:rsidR="00000000" w:rsidRPr="00000000">
      <w:rPr>
        <w:sz w:val="22"/>
        <w:szCs w:val="22"/>
        <w:rtl w:val="0"/>
      </w:rPr>
      <w:t xml:space="preserve">.А. )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М.П.                        </w:t>
      <w:tab/>
      <w:t xml:space="preserve">                                           М.П.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1"/>
      <w:szCs w:val="21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a" w:default="1">
    <w:name w:val="Normal"/>
    <w:qFormat w:val="1"/>
    <w:rsid w:val="004456A5"/>
  </w:style>
  <w:style w:type="paragraph" w:styleId="1">
    <w:name w:val="heading 1"/>
    <w:basedOn w:val="a"/>
    <w:next w:val="a"/>
    <w:qFormat w:val="1"/>
    <w:rsid w:val="004456A5"/>
    <w:pPr>
      <w:keepNext w:val="1"/>
      <w:jc w:val="both"/>
      <w:outlineLvl w:val="0"/>
    </w:pPr>
    <w:rPr>
      <w:sz w:val="21"/>
    </w:rPr>
  </w:style>
  <w:style w:type="paragraph" w:styleId="2">
    <w:name w:val="heading 2"/>
    <w:basedOn w:val="a"/>
    <w:next w:val="a"/>
    <w:qFormat w:val="1"/>
    <w:rsid w:val="004456A5"/>
    <w:pPr>
      <w:keepNext w:val="1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2345C8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2345C8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semiHidden w:val="1"/>
    <w:rsid w:val="004456A5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 w:val="1"/>
    <w:rsid w:val="004456A5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 w:val="1"/>
    <w:rsid w:val="004456A5"/>
  </w:style>
  <w:style w:type="paragraph" w:styleId="a6">
    <w:name w:val="Title"/>
    <w:basedOn w:val="a"/>
    <w:qFormat w:val="1"/>
    <w:rsid w:val="004456A5"/>
    <w:pPr>
      <w:jc w:val="center"/>
    </w:pPr>
    <w:rPr>
      <w:sz w:val="24"/>
    </w:rPr>
  </w:style>
  <w:style w:type="paragraph" w:styleId="a7">
    <w:name w:val="Body Text"/>
    <w:basedOn w:val="a"/>
    <w:semiHidden w:val="1"/>
    <w:rsid w:val="004456A5"/>
    <w:rPr>
      <w:rFonts w:ascii="Courier New" w:hAnsi="Courier New"/>
      <w:snapToGrid w:val="0"/>
      <w:color w:val="000000"/>
      <w:sz w:val="24"/>
    </w:rPr>
  </w:style>
  <w:style w:type="paragraph" w:styleId="a8">
    <w:name w:val="Body Text Indent"/>
    <w:basedOn w:val="a"/>
    <w:semiHidden w:val="1"/>
    <w:rsid w:val="004456A5"/>
    <w:pPr>
      <w:ind w:firstLine="567"/>
      <w:jc w:val="both"/>
    </w:pPr>
    <w:rPr>
      <w:snapToGrid w:val="0"/>
      <w:sz w:val="24"/>
    </w:rPr>
  </w:style>
  <w:style w:type="paragraph" w:styleId="20">
    <w:name w:val="Body Text Indent 2"/>
    <w:basedOn w:val="a"/>
    <w:semiHidden w:val="1"/>
    <w:rsid w:val="004456A5"/>
    <w:pPr>
      <w:ind w:firstLine="720"/>
      <w:jc w:val="both"/>
    </w:pPr>
    <w:rPr>
      <w:sz w:val="24"/>
    </w:rPr>
  </w:style>
  <w:style w:type="paragraph" w:styleId="31">
    <w:name w:val="Body Text Indent 3"/>
    <w:basedOn w:val="a"/>
    <w:semiHidden w:val="1"/>
    <w:rsid w:val="004456A5"/>
    <w:pPr>
      <w:ind w:hanging="36"/>
      <w:jc w:val="both"/>
    </w:pPr>
    <w:rPr>
      <w:sz w:val="22"/>
    </w:rPr>
  </w:style>
  <w:style w:type="paragraph" w:styleId="21">
    <w:name w:val="Body Text 2"/>
    <w:basedOn w:val="a"/>
    <w:semiHidden w:val="1"/>
    <w:rsid w:val="004456A5"/>
    <w:pPr>
      <w:jc w:val="both"/>
    </w:pPr>
    <w:rPr>
      <w:sz w:val="22"/>
    </w:rPr>
  </w:style>
  <w:style w:type="paragraph" w:styleId="ConsNormal" w:customStyle="1">
    <w:name w:val="ConsNormal"/>
    <w:rsid w:val="004456A5"/>
    <w:pPr>
      <w:widowControl w:val="0"/>
      <w:ind w:right="19772" w:firstLine="720"/>
    </w:pPr>
    <w:rPr>
      <w:rFonts w:ascii="Arial" w:hAnsi="Arial"/>
      <w:snapToGrid w:val="0"/>
    </w:rPr>
  </w:style>
  <w:style w:type="paragraph" w:styleId="a9">
    <w:name w:val="Document Map"/>
    <w:basedOn w:val="a"/>
    <w:semiHidden w:val="1"/>
    <w:rsid w:val="004456A5"/>
    <w:pPr>
      <w:shd w:color="auto" w:fill="000080" w:val="clear"/>
    </w:pPr>
    <w:rPr>
      <w:rFonts w:ascii="Tahoma" w:hAnsi="Tahoma"/>
    </w:rPr>
  </w:style>
  <w:style w:type="paragraph" w:styleId="32">
    <w:name w:val="Body Text 3"/>
    <w:basedOn w:val="a"/>
    <w:semiHidden w:val="1"/>
    <w:rsid w:val="004456A5"/>
    <w:rPr>
      <w:sz w:val="21"/>
    </w:rPr>
  </w:style>
  <w:style w:type="paragraph" w:styleId="aa">
    <w:name w:val="Plain Text"/>
    <w:basedOn w:val="a"/>
    <w:link w:val="ab"/>
    <w:rsid w:val="001624FB"/>
    <w:rPr>
      <w:rFonts w:ascii="Courier New" w:hAnsi="Courier New"/>
    </w:rPr>
  </w:style>
  <w:style w:type="character" w:styleId="ab" w:customStyle="1">
    <w:name w:val="Текст Знак"/>
    <w:basedOn w:val="a0"/>
    <w:link w:val="aa"/>
    <w:rsid w:val="001624FB"/>
    <w:rPr>
      <w:rFonts w:ascii="Courier New" w:hAnsi="Courier New"/>
    </w:rPr>
  </w:style>
  <w:style w:type="character" w:styleId="30" w:customStyle="1">
    <w:name w:val="Заголовок 3 Знак"/>
    <w:basedOn w:val="a0"/>
    <w:link w:val="3"/>
    <w:uiPriority w:val="9"/>
    <w:semiHidden w:val="1"/>
    <w:rsid w:val="002345C8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345C8"/>
    <w:rPr>
      <w:rFonts w:ascii="Calibri" w:cs="Times New Roman" w:eastAsia="Times New Roman" w:hAnsi="Calibri"/>
      <w:b w:val="1"/>
      <w:bCs w:val="1"/>
      <w:sz w:val="28"/>
      <w:szCs w:val="28"/>
    </w:rPr>
  </w:style>
  <w:style w:type="paragraph" w:styleId="CourierNew" w:customStyle="1">
    <w:name w:val="Обычный + Courier New"/>
    <w:basedOn w:val="a"/>
    <w:rsid w:val="002345C8"/>
    <w:pPr>
      <w:jc w:val="both"/>
    </w:pPr>
    <w:rPr>
      <w:rFonts w:ascii="Arial" w:cs="Arial" w:hAnsi="Arial"/>
    </w:rPr>
  </w:style>
  <w:style w:type="character" w:styleId="ac">
    <w:name w:val="Hyperlink"/>
    <w:basedOn w:val="a0"/>
    <w:uiPriority w:val="99"/>
    <w:unhideWhenUsed w:val="1"/>
    <w:rsid w:val="00A30DD3"/>
    <w:rPr>
      <w:color w:val="0000ff"/>
      <w:u w:val="single"/>
    </w:rPr>
  </w:style>
  <w:style w:type="paragraph" w:styleId="Default" w:customStyle="1">
    <w:name w:val="Default"/>
    <w:rsid w:val="00F00E12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 w:val="1"/>
    <w:unhideWhenUsed w:val="1"/>
    <w:rsid w:val="00106C40"/>
    <w:rPr>
      <w:rFonts w:ascii="Tahoma" w:cs="Tahoma" w:hAnsi="Tahoma"/>
      <w:sz w:val="16"/>
      <w:szCs w:val="16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106C40"/>
    <w:rPr>
      <w:rFonts w:ascii="Tahoma" w:cs="Tahoma" w:hAnsi="Tahoma"/>
      <w:sz w:val="16"/>
      <w:szCs w:val="16"/>
    </w:rPr>
  </w:style>
  <w:style w:type="paragraph" w:styleId="af">
    <w:name w:val="List Paragraph"/>
    <w:basedOn w:val="a"/>
    <w:uiPriority w:val="34"/>
    <w:qFormat w:val="1"/>
    <w:rsid w:val="00E70FCF"/>
    <w:pPr>
      <w:ind w:left="720"/>
      <w:contextualSpacing w:val="1"/>
    </w:pPr>
  </w:style>
  <w:style w:type="character" w:styleId="af0">
    <w:name w:val="annotation reference"/>
    <w:basedOn w:val="a0"/>
    <w:uiPriority w:val="99"/>
    <w:semiHidden w:val="1"/>
    <w:unhideWhenUsed w:val="1"/>
    <w:rsid w:val="005E0C0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 w:val="1"/>
    <w:unhideWhenUsed w:val="1"/>
    <w:rsid w:val="005E0C04"/>
  </w:style>
  <w:style w:type="character" w:styleId="af2" w:customStyle="1">
    <w:name w:val="Текст примечания Знак"/>
    <w:basedOn w:val="a0"/>
    <w:link w:val="af1"/>
    <w:uiPriority w:val="99"/>
    <w:semiHidden w:val="1"/>
    <w:rsid w:val="005E0C04"/>
  </w:style>
  <w:style w:type="paragraph" w:styleId="af3">
    <w:name w:val="annotation subject"/>
    <w:basedOn w:val="af1"/>
    <w:next w:val="af1"/>
    <w:link w:val="af4"/>
    <w:uiPriority w:val="99"/>
    <w:semiHidden w:val="1"/>
    <w:unhideWhenUsed w:val="1"/>
    <w:rsid w:val="005E0C04"/>
    <w:rPr>
      <w:b w:val="1"/>
      <w:bCs w:val="1"/>
    </w:rPr>
  </w:style>
  <w:style w:type="character" w:styleId="af4" w:customStyle="1">
    <w:name w:val="Тема примечания Знак"/>
    <w:basedOn w:val="af2"/>
    <w:link w:val="af3"/>
    <w:uiPriority w:val="99"/>
    <w:semiHidden w:val="1"/>
    <w:rsid w:val="005E0C04"/>
    <w:rPr>
      <w:b w:val="1"/>
      <w:bCs w:val="1"/>
    </w:rPr>
  </w:style>
  <w:style w:type="paragraph" w:styleId="af5">
    <w:name w:val="Revision"/>
    <w:hidden w:val="1"/>
    <w:uiPriority w:val="99"/>
    <w:semiHidden w:val="1"/>
    <w:rsid w:val="003F0D0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vDJF4xvdO+rbH8iHzg1LwsLtBA==">AMUW2mXkaVABUMfXDtR6K8Al/Oy5BSCZpCHWquguK39EYGyIVTDikE6R5okiozHgjinjBp5j6MgG/FSCD7s1RYYW3p8F5k5sgx8oe+Yg761mZd+xZ0HrB+k=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2021-04-06T13:19:00Z</dcterms:created>
  <dc:creator>Рабочий</dc:creator>
</cp:coreProperties>
</file>